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This question is about the Maxwell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Boltzmann distribution of molecular energies in a sample of a gas shown in the figure below.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886325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letter best represents the mean energy of the molecules?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495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This question is about the Maxwell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Boltzmann distribution of molecular energies in a sample of a gas shown in the following figure.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886325" cy="2533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does the area under the curve represent?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495"/>
        <w:gridCol w:w="5790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total energy of the particles.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total number of particles.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number of particles that can react with each other.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total number of particles that have activation energy.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The apparatus in the figure below was set up to measure the time taken for 20.0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sodium thiosulfate solution to react with 5.0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hydrochloric acid in a 100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conical flask at 20 °C. The timer was started when the sodium thiosulfate solution</w:t>
      </w:r>
      <w:r>
        <w:rPr>
          <w:rFonts w:ascii="Arial" w:hAnsi="Arial" w:cs="Arial"/>
          <w:lang w:val="en-US"/>
        </w:rPr>
        <w:t xml:space="preserve"> was added to the acid in the flask. The timer was stopped when it was no longer possible to see the cross on the paper.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495675" cy="1809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likely to decrease the accuracy of the experiment?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495"/>
        <w:gridCol w:w="6195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Rinsing the flask with acid before each new experiment.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Stirring the solution throughout each experiment.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Using the same piece of paper for each experiment.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Using different measuring cylinders to measure the volumes of acid and sodium thiosulfate.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The experiment was repeated at 20 °C using a 250 cm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conical flask.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statement is correct about the time taken for the cross to disappear when using the larger conical flask?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495"/>
        <w:gridCol w:w="6795"/>
        <w:gridCol w:w="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time taken will </w:t>
            </w:r>
            <w:r>
              <w:rPr>
                <w:rFonts w:ascii="Arial" w:hAnsi="Arial" w:cs="Arial"/>
                <w:b/>
                <w:bCs/>
                <w:lang w:val="en-US"/>
              </w:rPr>
              <w:t>not</w:t>
            </w:r>
            <w:r>
              <w:rPr>
                <w:rFonts w:ascii="Arial" w:hAnsi="Arial" w:cs="Arial"/>
                <w:lang w:val="en-US"/>
              </w:rPr>
              <w:t xml:space="preserve"> be affected by using the larger conical flask.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time taken will be decreased by using the larger conical flask.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time taken will be increased by using the larger conical flask.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is impossible to predict how the time taken will be affected by using the larger conical flask.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1809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This question is about the reaction given below.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CO(g) +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 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09575" cy="171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Enthalpy data for the reacting species are given in the table below.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1785"/>
        <w:gridCol w:w="990"/>
        <w:gridCol w:w="990"/>
        <w:gridCol w:w="990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Substance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CO(g)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O(g)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Δ</w:t>
            </w:r>
            <w:r>
              <w:rPr>
                <w:rFonts w:ascii="Arial" w:hAnsi="Arial" w:cs="Arial"/>
                <w:i/>
                <w:iCs/>
                <w:lang w:val="en-US"/>
              </w:rPr>
              <w:t>H</w:t>
            </w:r>
            <w:r>
              <w:rPr>
                <w:rFonts w:ascii="Arial" w:hAnsi="Arial" w:cs="Arial"/>
                <w:i/>
                <w:iCs/>
                <w:noProof/>
                <w:lang w:val="en-US"/>
              </w:rPr>
              <w:drawing>
                <wp:inline distT="0" distB="0" distL="0" distR="0">
                  <wp:extent cx="152400" cy="190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/ kJ mol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242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394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5966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Which one of the following statements is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correct?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       The value of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p</w:t>
      </w:r>
      <w:r>
        <w:rPr>
          <w:rFonts w:ascii="Arial" w:hAnsi="Arial" w:cs="Arial"/>
          <w:lang w:val="en-US"/>
        </w:rPr>
        <w:t xml:space="preserve"> changes when the temperature changes.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The activation energy decreases when the temperature is increased.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The entropy change is more positive when the water is liquid rather than gaseous.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The enthalpy change is more positive when the water is liquid rather than gaseous.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mark)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The compound lithium tetrahydridoaluminate(III), LiAlH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, is a useful reducing agent. It behaves in a similar fashion to NaBH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. Carbonyl compounds and carboxylic acids are reduced to alcohols. However, LiAlH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also reduces water in a violent reaction so that it must be used in an organic solvent.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one of the following concerning the violent reaction between LiAlH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and water is </w:t>
      </w:r>
      <w:r>
        <w:rPr>
          <w:rFonts w:ascii="Arial" w:hAnsi="Arial" w:cs="Arial"/>
          <w:b/>
          <w:bCs/>
          <w:lang w:val="en-US"/>
        </w:rPr>
        <w:t>false</w:t>
      </w:r>
      <w:r>
        <w:rPr>
          <w:rFonts w:ascii="Arial" w:hAnsi="Arial" w:cs="Arial"/>
          <w:lang w:val="en-US"/>
        </w:rPr>
        <w:t>?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A gas is produced.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The activation energy for the reaction</w:t>
      </w:r>
      <w:r>
        <w:rPr>
          <w:rFonts w:ascii="Arial" w:hAnsi="Arial" w:cs="Arial"/>
          <w:lang w:val="en-US"/>
        </w:rPr>
        <w:t xml:space="preserve"> is relatively high.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The reaction has a negative free-energy change.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Aqueous lithium ions are formed.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905125" cy="14668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                                             energy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85775" cy="857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total area under the distribution curve represents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total energy.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activation energy.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total number of reacting molecules.</w:t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total number of molecules present.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C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B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A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C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B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B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D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59665D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000000">
      <w:headerReference w:type="default" r:id="rId13"/>
      <w:footerReference w:type="default" r:id="rId14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665D">
      <w:pPr>
        <w:spacing w:after="0" w:line="240" w:lineRule="auto"/>
      </w:pPr>
      <w:r>
        <w:separator/>
      </w:r>
    </w:p>
  </w:endnote>
  <w:endnote w:type="continuationSeparator" w:id="0">
    <w:p w:rsidR="00000000" w:rsidRDefault="0059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665D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665D">
      <w:pPr>
        <w:spacing w:after="0" w:line="240" w:lineRule="auto"/>
      </w:pPr>
      <w:r>
        <w:separator/>
      </w:r>
    </w:p>
  </w:footnote>
  <w:footnote w:type="continuationSeparator" w:id="0">
    <w:p w:rsidR="00000000" w:rsidRDefault="0059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665D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Tapton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D"/>
    <w:rsid w:val="005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FA92F59-AA53-4346-A90D-763A1360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e"/>
    <w:qFormat/>
  </w:style>
  <w:style w:type="character" w:default="1" w:styleId="DefaultParagraphFont">
    <w:name w:val="Default Paragraph Font"/>
    <w:aliases w:val="Car. predefinito paragrafo,Standardstycketeckensnitt"/>
    <w:uiPriority w:val="1"/>
    <w:semiHidden/>
    <w:unhideWhenUsed/>
  </w:style>
  <w:style w:type="table" w:default="1" w:styleId="TableNormal">
    <w:name w:val="Normal Table"/>
    <w:aliases w:val="Tabella normale,Normal tabel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Nessun elenco,Ingen lista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2017-03-22T16:19:00Z</dcterms:created>
  <dcterms:modified xsi:type="dcterms:W3CDTF">2017-03-22T16:19:00Z</dcterms:modified>
</cp:coreProperties>
</file>